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3EE" w:rsidRDefault="003A7028">
      <w:pPr>
        <w:jc w:val="center"/>
        <w:rPr>
          <w:b/>
          <w:color w:val="2E7D32"/>
          <w:sz w:val="32"/>
        </w:rPr>
      </w:pPr>
      <w:r>
        <w:rPr>
          <w:b/>
          <w:color w:val="2E7D32"/>
          <w:sz w:val="32"/>
        </w:rPr>
        <w:t>KazNARU's Strategic Contribution to Green Infrastructure Development and Human Capital F</w:t>
      </w:r>
      <w:r>
        <w:rPr>
          <w:b/>
          <w:color w:val="2E7D32"/>
          <w:sz w:val="32"/>
        </w:rPr>
        <w:t>ormation for the 'Green' Economy</w:t>
      </w:r>
    </w:p>
    <w:p w:rsidR="002C73EE" w:rsidRDefault="002C73EE">
      <w:pPr>
        <w:jc w:val="center"/>
        <w:rPr>
          <w:b/>
          <w:color w:val="2E7D32"/>
          <w:sz w:val="32"/>
        </w:rPr>
      </w:pPr>
      <w:r>
        <w:rPr>
          <w:b/>
          <w:color w:val="2E7D32"/>
          <w:sz w:val="32"/>
        </w:rPr>
        <w:t>Analytical Report</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 xml:space="preserve">Within the framework of implementing the long-term strategy of academic excellence and strengthening the positions of the Kazakh National Agrarian Research University (KazNARU) in </w:t>
      </w:r>
      <w:r w:rsidR="002C73EE">
        <w:rPr>
          <w:rFonts w:ascii="Times New Roman" w:hAnsi="Times New Roman" w:cs="Times New Roman"/>
          <w:sz w:val="28"/>
          <w:szCs w:val="28"/>
        </w:rPr>
        <w:t>becoming a</w:t>
      </w:r>
      <w:r w:rsidRPr="002C73EE">
        <w:rPr>
          <w:rFonts w:ascii="Times New Roman" w:hAnsi="Times New Roman" w:cs="Times New Roman"/>
          <w:sz w:val="28"/>
          <w:szCs w:val="28"/>
        </w:rPr>
        <w:t xml:space="preserve"> global </w:t>
      </w:r>
      <w:r w:rsidR="002C73EE">
        <w:rPr>
          <w:rFonts w:ascii="Times New Roman" w:hAnsi="Times New Roman" w:cs="Times New Roman"/>
          <w:sz w:val="28"/>
          <w:szCs w:val="28"/>
        </w:rPr>
        <w:t>educational leader</w:t>
      </w:r>
      <w:r w:rsidRPr="002C73EE">
        <w:rPr>
          <w:rFonts w:ascii="Times New Roman" w:hAnsi="Times New Roman" w:cs="Times New Roman"/>
          <w:sz w:val="28"/>
          <w:szCs w:val="28"/>
        </w:rPr>
        <w:t xml:space="preserve">, </w:t>
      </w:r>
      <w:r w:rsidR="002C73EE">
        <w:rPr>
          <w:rFonts w:ascii="Times New Roman" w:hAnsi="Times New Roman" w:cs="Times New Roman"/>
          <w:sz w:val="28"/>
          <w:szCs w:val="28"/>
        </w:rPr>
        <w:t xml:space="preserve">and </w:t>
      </w:r>
      <w:r w:rsidRPr="002C73EE">
        <w:rPr>
          <w:rFonts w:ascii="Times New Roman" w:hAnsi="Times New Roman" w:cs="Times New Roman"/>
          <w:sz w:val="28"/>
          <w:szCs w:val="28"/>
        </w:rPr>
        <w:t>integrati</w:t>
      </w:r>
      <w:r w:rsidR="002C73EE">
        <w:rPr>
          <w:rFonts w:ascii="Times New Roman" w:hAnsi="Times New Roman" w:cs="Times New Roman"/>
          <w:sz w:val="28"/>
          <w:szCs w:val="28"/>
        </w:rPr>
        <w:t>ng</w:t>
      </w:r>
      <w:r w:rsidRPr="002C73EE">
        <w:rPr>
          <w:rFonts w:ascii="Times New Roman" w:hAnsi="Times New Roman" w:cs="Times New Roman"/>
          <w:sz w:val="28"/>
          <w:szCs w:val="28"/>
        </w:rPr>
        <w:t xml:space="preserve"> applied agricultural science with the physical transformation of the landscape and the training of specialized personnel</w:t>
      </w:r>
      <w:r>
        <w:rPr>
          <w:rFonts w:ascii="Times New Roman" w:hAnsi="Times New Roman" w:cs="Times New Roman"/>
          <w:sz w:val="28"/>
          <w:szCs w:val="28"/>
        </w:rPr>
        <w:t xml:space="preserve"> – especially green professions/jobs - </w:t>
      </w:r>
      <w:r w:rsidRPr="002C73EE">
        <w:rPr>
          <w:rFonts w:ascii="Times New Roman" w:hAnsi="Times New Roman" w:cs="Times New Roman"/>
          <w:sz w:val="28"/>
          <w:szCs w:val="28"/>
        </w:rPr>
        <w:t>is of key importance. This analytical report systematizes the large-scale work carried</w:t>
      </w:r>
      <w:r w:rsidRPr="002C73EE">
        <w:rPr>
          <w:rFonts w:ascii="Times New Roman" w:hAnsi="Times New Roman" w:cs="Times New Roman"/>
          <w:sz w:val="28"/>
          <w:szCs w:val="28"/>
        </w:rPr>
        <w:t xml:space="preserve"> out by the </w:t>
      </w:r>
      <w:r w:rsidRPr="002C73EE">
        <w:rPr>
          <w:rFonts w:ascii="Times New Roman" w:hAnsi="Times New Roman" w:cs="Times New Roman"/>
          <w:sz w:val="28"/>
          <w:szCs w:val="28"/>
        </w:rPr>
        <w:t>throughout 2025–2026.</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The</w:t>
      </w:r>
      <w:r w:rsidR="002C73EE">
        <w:rPr>
          <w:rFonts w:ascii="Times New Roman" w:hAnsi="Times New Roman" w:cs="Times New Roman"/>
          <w:sz w:val="28"/>
          <w:szCs w:val="28"/>
        </w:rPr>
        <w:t xml:space="preserve"> project</w:t>
      </w:r>
      <w:r w:rsidRPr="002C73EE">
        <w:rPr>
          <w:rFonts w:ascii="Times New Roman" w:hAnsi="Times New Roman" w:cs="Times New Roman"/>
          <w:sz w:val="28"/>
          <w:szCs w:val="28"/>
        </w:rPr>
        <w:t xml:space="preserve"> focused on</w:t>
      </w:r>
      <w:r w:rsidRPr="002C73EE">
        <w:rPr>
          <w:rFonts w:ascii="Times New Roman" w:hAnsi="Times New Roman" w:cs="Times New Roman"/>
          <w:sz w:val="28"/>
          <w:szCs w:val="28"/>
        </w:rPr>
        <w:t xml:space="preserve"> converting the theoretical potential of the faculty into measurable indicators of the categories 'Setting and Infrastructure', 'Water', 'Waste', and 'Education and Research'. Below are six detailed areas of the university's activities, a specialized secti</w:t>
      </w:r>
      <w:r w:rsidRPr="002C73EE">
        <w:rPr>
          <w:rFonts w:ascii="Times New Roman" w:hAnsi="Times New Roman" w:cs="Times New Roman"/>
          <w:sz w:val="28"/>
          <w:szCs w:val="28"/>
        </w:rPr>
        <w:t>on on monitoring the 'green' employment of graduates, and a final conclusion on the vector of advanced development up to 2029.</w:t>
      </w:r>
    </w:p>
    <w:p w:rsidR="003A7028" w:rsidRPr="003A7028" w:rsidRDefault="003A7028" w:rsidP="003A7028">
      <w:pPr>
        <w:spacing w:after="120"/>
        <w:ind w:right="-279"/>
        <w:jc w:val="both"/>
        <w:rPr>
          <w:rFonts w:ascii="Times New Roman" w:hAnsi="Times New Roman" w:cs="Times New Roman"/>
          <w:b/>
          <w:color w:val="2E7D32"/>
          <w:sz w:val="28"/>
          <w:szCs w:val="28"/>
        </w:rPr>
      </w:pPr>
      <w:r w:rsidRPr="003A7028">
        <w:rPr>
          <w:rFonts w:ascii="Times New Roman" w:hAnsi="Times New Roman" w:cs="Times New Roman"/>
          <w:b/>
          <w:bCs/>
          <w:color w:val="2E7D32"/>
          <w:sz w:val="28"/>
          <w:szCs w:val="28"/>
        </w:rPr>
        <w:t>1. Internal Greening and Campus Ecosystem Modernization as a Driver for Green Professions</w:t>
      </w:r>
    </w:p>
    <w:p w:rsidR="003A7028" w:rsidRPr="003A7028" w:rsidRDefault="003A7028" w:rsidP="003A7028">
      <w:pPr>
        <w:pStyle w:val="NormalWeb"/>
        <w:jc w:val="both"/>
        <w:rPr>
          <w:sz w:val="28"/>
          <w:lang w:val="en-US"/>
        </w:rPr>
      </w:pPr>
      <w:r w:rsidRPr="003A7028">
        <w:rPr>
          <w:rStyle w:val="font-ligatures-none"/>
          <w:sz w:val="28"/>
          <w:lang w:val="en-US"/>
        </w:rPr>
        <w:t xml:space="preserve">During 2025–2026, KazNARU implemented the comprehensive </w:t>
      </w:r>
      <w:r w:rsidRPr="003A7028">
        <w:rPr>
          <w:rStyle w:val="Emphasis"/>
          <w:sz w:val="28"/>
          <w:lang w:val="en-US"/>
        </w:rPr>
        <w:t>Smart Green Campus</w:t>
      </w:r>
      <w:r w:rsidRPr="003A7028">
        <w:rPr>
          <w:rStyle w:val="font-ligatures-none"/>
          <w:sz w:val="28"/>
          <w:lang w:val="en-US"/>
        </w:rPr>
        <w:t xml:space="preserve"> program, aimed at expanding open green spaces across educational buildings and student dormitories in Almaty. In collaboration with the </w:t>
      </w:r>
      <w:r w:rsidRPr="003A7028">
        <w:rPr>
          <w:rStyle w:val="Emphasis"/>
          <w:sz w:val="28"/>
          <w:lang w:val="en-US"/>
        </w:rPr>
        <w:t>Green Urban</w:t>
      </w:r>
      <w:r w:rsidRPr="003A7028">
        <w:rPr>
          <w:rStyle w:val="font-ligatures-none"/>
          <w:sz w:val="28"/>
          <w:lang w:val="en-US"/>
        </w:rPr>
        <w:t xml:space="preserve"> Association and the Departments of Forestry and Plant Protection, a universal landscape design map was developed, tailored to the bioclimatic features of the region. More than 2,500 trees and shrubs adapted to urban conditions were planted on campus.</w:t>
      </w:r>
    </w:p>
    <w:p w:rsidR="003A7028" w:rsidRPr="003A7028" w:rsidRDefault="003A7028" w:rsidP="003A7028">
      <w:pPr>
        <w:pStyle w:val="NormalWeb"/>
        <w:jc w:val="both"/>
        <w:rPr>
          <w:sz w:val="28"/>
          <w:lang w:val="en-US"/>
        </w:rPr>
      </w:pPr>
      <w:r w:rsidRPr="003A7028">
        <w:rPr>
          <w:rStyle w:val="font-ligatures-none"/>
          <w:sz w:val="28"/>
          <w:lang w:val="en-US"/>
        </w:rPr>
        <w:t>Special emphasis was placed on vertical greening of building facades, reducing the “heat island” effect and optimizing energy consumption in study areas. These initiatives not only increased the plant cover coefficient to regulatory targets but also created a practical training environment for students. The campus now serves as a living laboratory where future specialists in sustainable urban planning, ecological management, climate adaptation, and green technologies gain hands</w:t>
      </w:r>
      <w:r w:rsidRPr="003A7028">
        <w:rPr>
          <w:rStyle w:val="font-ligatures-none"/>
          <w:sz w:val="28"/>
          <w:lang w:val="en-US"/>
        </w:rPr>
        <w:noBreakHyphen/>
        <w:t>on experience. In this way, KazNARU directly contributes to preparing a new generation of professionals for Kazakhstan’s evolving green labor market.</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color w:val="2E7D32"/>
          <w:sz w:val="28"/>
          <w:szCs w:val="28"/>
        </w:rPr>
        <w:lastRenderedPageBreak/>
        <w:t>2. Large-scale Participation of the University in Afforestation and Greening of Almaty City</w:t>
      </w:r>
    </w:p>
    <w:p w:rsidR="003A7028"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Going beyond internal academi</w:t>
      </w:r>
      <w:r w:rsidRPr="002C73EE">
        <w:rPr>
          <w:rFonts w:ascii="Times New Roman" w:hAnsi="Times New Roman" w:cs="Times New Roman"/>
          <w:sz w:val="28"/>
          <w:szCs w:val="28"/>
        </w:rPr>
        <w:t>c territories, KazNARU during the reporting period established itself as a key scientific and production driver of urban greening in the southern capital of Kazakhstan. Within the framework of the national environmental program and the memorandum with 'Gre</w:t>
      </w:r>
      <w:r w:rsidRPr="002C73EE">
        <w:rPr>
          <w:rFonts w:ascii="Times New Roman" w:hAnsi="Times New Roman" w:cs="Times New Roman"/>
          <w:sz w:val="28"/>
          <w:szCs w:val="28"/>
        </w:rPr>
        <w:t xml:space="preserve">en Urban', university students and scientists initiated large-scale tree planting campaigns in foothill areas, park zones, and along major transport arteries of the city. </w:t>
      </w:r>
    </w:p>
    <w:p w:rsidR="003A7028"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Over the years 2025–2026, more than 5,000 seedlings of coniferous and broad-leaved sp</w:t>
      </w:r>
      <w:r w:rsidRPr="002C73EE">
        <w:rPr>
          <w:rFonts w:ascii="Times New Roman" w:hAnsi="Times New Roman" w:cs="Times New Roman"/>
          <w:sz w:val="28"/>
          <w:szCs w:val="28"/>
        </w:rPr>
        <w:t>ecies (including oak, ash, and Tien Shan spruce) were planted by the university's volunteer detachments.</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Scientific support for plantings, carried out by KazNARU doctoral students, included preliminary microbiological analysis of soils and the selection o</w:t>
      </w:r>
      <w:r w:rsidRPr="002C73EE">
        <w:rPr>
          <w:rFonts w:ascii="Times New Roman" w:hAnsi="Times New Roman" w:cs="Times New Roman"/>
          <w:sz w:val="28"/>
          <w:szCs w:val="28"/>
        </w:rPr>
        <w:t>f specialized long-acting fertilizers, which ensured a record survival rate of young trees for the megacity at 88%.</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color w:val="2E7D32"/>
          <w:sz w:val="28"/>
          <w:szCs w:val="28"/>
        </w:rPr>
        <w:t>3. Registry of Interdisciplinary Scientific Projects on Climate Change and Environmental Protection</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 xml:space="preserve">The research contour of the university </w:t>
      </w:r>
      <w:r w:rsidRPr="002C73EE">
        <w:rPr>
          <w:rFonts w:ascii="Times New Roman" w:hAnsi="Times New Roman" w:cs="Times New Roman"/>
          <w:sz w:val="28"/>
          <w:szCs w:val="28"/>
        </w:rPr>
        <w:t>in 2025–2026 made a qualitative transition to practice-oriented projects aimed at minimizing environmental risks in Central Asia. Below is a verified list of priority scientific grants and initiatives implemented by KazNARU scientists:</w:t>
      </w:r>
      <w:r w:rsidRPr="002C73EE">
        <w:rPr>
          <w:rFonts w:ascii="Times New Roman" w:hAnsi="Times New Roman" w:cs="Times New Roman"/>
          <w:sz w:val="28"/>
          <w:szCs w:val="28"/>
        </w:rPr>
        <w:br/>
        <w:t>• Project 'Adaptatio</w:t>
      </w:r>
      <w:r w:rsidRPr="002C73EE">
        <w:rPr>
          <w:rFonts w:ascii="Times New Roman" w:hAnsi="Times New Roman" w:cs="Times New Roman"/>
          <w:sz w:val="28"/>
          <w:szCs w:val="28"/>
        </w:rPr>
        <w:t>n of agroecosystems of Southern Kazakhstan to global climate change': Development of resilient crop production models under conditions of progressive moisture deficit.</w:t>
      </w:r>
      <w:r w:rsidRPr="002C73EE">
        <w:rPr>
          <w:rFonts w:ascii="Times New Roman" w:hAnsi="Times New Roman" w:cs="Times New Roman"/>
          <w:sz w:val="28"/>
          <w:szCs w:val="28"/>
        </w:rPr>
        <w:br/>
        <w:t>• Grant 'Assessment of carbon balance and sequestration potential of forests in Ile-Alat</w:t>
      </w:r>
      <w:r w:rsidRPr="002C73EE">
        <w:rPr>
          <w:rFonts w:ascii="Times New Roman" w:hAnsi="Times New Roman" w:cs="Times New Roman"/>
          <w:sz w:val="28"/>
          <w:szCs w:val="28"/>
        </w:rPr>
        <w:t>au National Park': Using satellite monitoring to track CO2 absorption.</w:t>
      </w:r>
      <w:r w:rsidRPr="002C73EE">
        <w:rPr>
          <w:rFonts w:ascii="Times New Roman" w:hAnsi="Times New Roman" w:cs="Times New Roman"/>
          <w:sz w:val="28"/>
          <w:szCs w:val="28"/>
        </w:rPr>
        <w:br/>
        <w:t>• Project 'Development and implementation of smart technologies in monitoring the degradation of near-farm pastures': Creating digital soil erosion maps.</w:t>
      </w:r>
      <w:r w:rsidRPr="002C73EE">
        <w:rPr>
          <w:rFonts w:ascii="Times New Roman" w:hAnsi="Times New Roman" w:cs="Times New Roman"/>
          <w:sz w:val="28"/>
          <w:szCs w:val="28"/>
        </w:rPr>
        <w:br/>
        <w:t>• Initiative 'Optimization of t</w:t>
      </w:r>
      <w:r w:rsidRPr="002C73EE">
        <w:rPr>
          <w:rFonts w:ascii="Times New Roman" w:hAnsi="Times New Roman" w:cs="Times New Roman"/>
          <w:sz w:val="28"/>
          <w:szCs w:val="28"/>
        </w:rPr>
        <w:t>he phytosanitary condition of green spaces in Almaty megacity under climate fluctuations': Monitoring invasive pests.</w:t>
      </w:r>
      <w:r w:rsidRPr="002C73EE">
        <w:rPr>
          <w:rFonts w:ascii="Times New Roman" w:hAnsi="Times New Roman" w:cs="Times New Roman"/>
          <w:sz w:val="28"/>
          <w:szCs w:val="28"/>
        </w:rPr>
        <w:br/>
      </w:r>
      <w:r w:rsidRPr="002C73EE">
        <w:rPr>
          <w:rFonts w:ascii="Times New Roman" w:hAnsi="Times New Roman" w:cs="Times New Roman"/>
          <w:sz w:val="28"/>
          <w:szCs w:val="28"/>
        </w:rPr>
        <w:br/>
        <w:t xml:space="preserve">All publications on these projects are strictly reoriented towards international journals </w:t>
      </w:r>
      <w:r w:rsidRPr="002C73EE">
        <w:rPr>
          <w:rFonts w:ascii="Times New Roman" w:hAnsi="Times New Roman" w:cs="Times New Roman"/>
          <w:sz w:val="28"/>
          <w:szCs w:val="28"/>
        </w:rPr>
        <w:lastRenderedPageBreak/>
        <w:t>of the first and second quartiles (Q1/Q2 Scopus</w:t>
      </w:r>
      <w:r w:rsidRPr="002C73EE">
        <w:rPr>
          <w:rFonts w:ascii="Times New Roman" w:hAnsi="Times New Roman" w:cs="Times New Roman"/>
          <w:sz w:val="28"/>
          <w:szCs w:val="28"/>
        </w:rPr>
        <w:t>), which solves the historic problem of the lack of quality external citations for the university.</w:t>
      </w:r>
    </w:p>
    <w:p w:rsidR="002C73EE" w:rsidRDefault="002C73EE" w:rsidP="002C73EE">
      <w:pPr>
        <w:spacing w:after="120"/>
        <w:ind w:right="-279"/>
        <w:jc w:val="both"/>
        <w:rPr>
          <w:rFonts w:ascii="Times New Roman" w:hAnsi="Times New Roman" w:cs="Times New Roman"/>
          <w:b/>
          <w:color w:val="2E7D32"/>
          <w:sz w:val="28"/>
          <w:szCs w:val="28"/>
        </w:rPr>
      </w:pP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color w:val="2E7D32"/>
          <w:sz w:val="28"/>
          <w:szCs w:val="28"/>
        </w:rPr>
        <w:t>4. Implementation of 'Smart Water Zone' Concepts and Lean Hydro-Management</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The specificity of an agricultural university requires an exemplary attitude towar</w:t>
      </w:r>
      <w:r w:rsidRPr="002C73EE">
        <w:rPr>
          <w:rFonts w:ascii="Times New Roman" w:hAnsi="Times New Roman" w:cs="Times New Roman"/>
          <w:sz w:val="28"/>
          <w:szCs w:val="28"/>
        </w:rPr>
        <w:t xml:space="preserve">d water resources, which is anchored in Article 3 of the Memorandum with 'Green Urban' under the direction 'Water resources and water use'. In the reporting period, a pilot technological platform 'Smart Water Zone' was deployed on the basis of the campus. </w:t>
      </w:r>
      <w:r w:rsidRPr="002C73EE">
        <w:rPr>
          <w:rFonts w:ascii="Times New Roman" w:hAnsi="Times New Roman" w:cs="Times New Roman"/>
          <w:sz w:val="28"/>
          <w:szCs w:val="28"/>
        </w:rPr>
        <w:t>Within the framework of the project, a deep modernization of irrigation systems was carried out: manual irrigation was completely replaced by automated subsurface drip irrigation complexes integrated with soil moisture sensors.</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Additionally, closed-loop w</w:t>
      </w:r>
      <w:r w:rsidRPr="002C73EE">
        <w:rPr>
          <w:rFonts w:ascii="Times New Roman" w:hAnsi="Times New Roman" w:cs="Times New Roman"/>
          <w:sz w:val="28"/>
          <w:szCs w:val="28"/>
        </w:rPr>
        <w:t>ater recycling systems were introduced in the research laboratories of KazNARU, and drainage systems were designed on the campus territory to collect and filter rainwater and meltwater, which are redirected for technical irrigation of the landscape. This m</w:t>
      </w:r>
      <w:r w:rsidRPr="002C73EE">
        <w:rPr>
          <w:rFonts w:ascii="Times New Roman" w:hAnsi="Times New Roman" w:cs="Times New Roman"/>
          <w:sz w:val="28"/>
          <w:szCs w:val="28"/>
        </w:rPr>
        <w:t>inimized water withdrawal from municipal utilities and strengthened the university's position in the WR (Water) audit.</w:t>
      </w:r>
    </w:p>
    <w:p w:rsidR="002C73EE" w:rsidRDefault="002C73EE" w:rsidP="002C73EE">
      <w:pPr>
        <w:spacing w:after="120"/>
        <w:ind w:right="-279"/>
        <w:jc w:val="both"/>
        <w:rPr>
          <w:rFonts w:ascii="Times New Roman" w:hAnsi="Times New Roman" w:cs="Times New Roman"/>
          <w:b/>
          <w:color w:val="2E7D32"/>
          <w:sz w:val="28"/>
          <w:szCs w:val="28"/>
        </w:rPr>
      </w:pP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color w:val="2E7D32"/>
          <w:sz w:val="28"/>
          <w:szCs w:val="28"/>
        </w:rPr>
        <w:t>5. Practical Implementation of 'Smart Plastic Zone' Protocols and Waste Management</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Clearing the campus of plastic pollution and forming a</w:t>
      </w:r>
      <w:r w:rsidRPr="002C73EE">
        <w:rPr>
          <w:rFonts w:ascii="Times New Roman" w:hAnsi="Times New Roman" w:cs="Times New Roman"/>
          <w:sz w:val="28"/>
          <w:szCs w:val="28"/>
        </w:rPr>
        <w:t xml:space="preserve"> circular economy infrastructure became possible due to the integration of KazNARU into the 'Smart Plastic Zone' initiative. Throughout 2025–2026, a network of specialized containers for the selective collection of polymer waste, equipped with elements of </w:t>
      </w:r>
      <w:r w:rsidRPr="002C73EE">
        <w:rPr>
          <w:rFonts w:ascii="Times New Roman" w:hAnsi="Times New Roman" w:cs="Times New Roman"/>
          <w:sz w:val="28"/>
          <w:szCs w:val="28"/>
        </w:rPr>
        <w:t>digital tracking of fullness, was deployed in all educational buildings, administrative complexes, and public catering points.</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The collected plastic was not simply removed by waste management companies, but directed to the experimental workshops of the un</w:t>
      </w:r>
      <w:r w:rsidRPr="002C73EE">
        <w:rPr>
          <w:rFonts w:ascii="Times New Roman" w:hAnsi="Times New Roman" w:cs="Times New Roman"/>
          <w:sz w:val="28"/>
          <w:szCs w:val="28"/>
        </w:rPr>
        <w:t xml:space="preserve">iversity for recycling. From polymer secondary raw materials, scientists and students established the production of technical components for the agricultural sector: seed trays, protective screens for young saplings, and elements of greenhouse structures. </w:t>
      </w:r>
      <w:r w:rsidRPr="002C73EE">
        <w:rPr>
          <w:rFonts w:ascii="Times New Roman" w:hAnsi="Times New Roman" w:cs="Times New Roman"/>
          <w:sz w:val="28"/>
          <w:szCs w:val="28"/>
        </w:rPr>
        <w:t xml:space="preserve">This end-to-end process </w:t>
      </w:r>
      <w:r w:rsidRPr="002C73EE">
        <w:rPr>
          <w:rFonts w:ascii="Times New Roman" w:hAnsi="Times New Roman" w:cs="Times New Roman"/>
          <w:sz w:val="28"/>
          <w:szCs w:val="28"/>
        </w:rPr>
        <w:lastRenderedPageBreak/>
        <w:t>served as a reliable evidentiary base for verifying the criteria of the WS (Waste) category.</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color w:val="2E7D32"/>
          <w:sz w:val="28"/>
          <w:szCs w:val="28"/>
        </w:rPr>
        <w:t>6. Ecological Education, Trainings, and Hackathons Based on Erasmus+ EduFusion</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Human capital and the transmission of green values were impl</w:t>
      </w:r>
      <w:r w:rsidRPr="002C73EE">
        <w:rPr>
          <w:rFonts w:ascii="Times New Roman" w:hAnsi="Times New Roman" w:cs="Times New Roman"/>
          <w:sz w:val="28"/>
          <w:szCs w:val="28"/>
        </w:rPr>
        <w:t>emented through the synergy of the 'Women and Science' and Erasmus+ EduFusion projects. In 2025–2026, the university transformed into the largest center for continuous inclusive eco-education in Kazakhstan. The teaching staff underwent a series of certifie</w:t>
      </w:r>
      <w:r w:rsidRPr="002C73EE">
        <w:rPr>
          <w:rFonts w:ascii="Times New Roman" w:hAnsi="Times New Roman" w:cs="Times New Roman"/>
          <w:sz w:val="28"/>
          <w:szCs w:val="28"/>
        </w:rPr>
        <w:t>d training courses on introducing cross-cutting sustainable development modules into standard curricula.</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For undergraduate, master's, and doctoral students, annual interdisciplinary hackathons 'Green Agritech Hackathon' were organized, where young researc</w:t>
      </w:r>
      <w:r w:rsidRPr="002C73EE">
        <w:rPr>
          <w:rFonts w:ascii="Times New Roman" w:hAnsi="Times New Roman" w:cs="Times New Roman"/>
          <w:sz w:val="28"/>
          <w:szCs w:val="28"/>
        </w:rPr>
        <w:t>hers in teams solved real-world cases of the 'Green Urban' Association in the field of precision farming and alternative energy. Mentorship programs, in which more than 50% of the leaders were female scientists, ensured the continuity of generations and in</w:t>
      </w:r>
      <w:r w:rsidRPr="002C73EE">
        <w:rPr>
          <w:rFonts w:ascii="Times New Roman" w:hAnsi="Times New Roman" w:cs="Times New Roman"/>
          <w:sz w:val="28"/>
          <w:szCs w:val="28"/>
        </w:rPr>
        <w:t>volved young people in creating green startups.</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color w:val="2E7D32"/>
          <w:sz w:val="28"/>
          <w:szCs w:val="28"/>
        </w:rPr>
        <w:t>Total Number of Graduates with Green Jobs (For the Last 3 Years)</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Graduates Calculation Methodology:</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To verify the indicators of the Education &amp; Research (ED) category in the UI GreenMetric audit, KazNARU impl</w:t>
      </w:r>
      <w:r w:rsidRPr="002C73EE">
        <w:rPr>
          <w:rFonts w:ascii="Times New Roman" w:hAnsi="Times New Roman" w:cs="Times New Roman"/>
          <w:sz w:val="28"/>
          <w:szCs w:val="28"/>
        </w:rPr>
        <w:t>emented a rigorous, scientifically grounded methodology for monitoring employment. The collection and verification of data are carried out by the Department of Academic Affairs together with the Career and Pre-University Training Center based on three inde</w:t>
      </w:r>
      <w:r w:rsidRPr="002C73EE">
        <w:rPr>
          <w:rFonts w:ascii="Times New Roman" w:hAnsi="Times New Roman" w:cs="Times New Roman"/>
          <w:sz w:val="28"/>
          <w:szCs w:val="28"/>
        </w:rPr>
        <w:t>pendent sources:</w:t>
      </w:r>
      <w:r w:rsidRPr="002C73EE">
        <w:rPr>
          <w:rFonts w:ascii="Times New Roman" w:hAnsi="Times New Roman" w:cs="Times New Roman"/>
          <w:sz w:val="28"/>
          <w:szCs w:val="28"/>
        </w:rPr>
        <w:br/>
        <w:t>1. Graduate Surveys: An annual digital segment (Exit Survey) through the Smart-KazNARU platform, capturing the profile of the employer company and functional duties.</w:t>
      </w:r>
      <w:r w:rsidRPr="002C73EE">
        <w:rPr>
          <w:rFonts w:ascii="Times New Roman" w:hAnsi="Times New Roman" w:cs="Times New Roman"/>
          <w:sz w:val="28"/>
          <w:szCs w:val="28"/>
        </w:rPr>
        <w:br/>
        <w:t>2. National Registry (State Center for Pension Payouts - GZVP): Anonymize</w:t>
      </w:r>
      <w:r w:rsidRPr="002C73EE">
        <w:rPr>
          <w:rFonts w:ascii="Times New Roman" w:hAnsi="Times New Roman" w:cs="Times New Roman"/>
          <w:sz w:val="28"/>
          <w:szCs w:val="28"/>
        </w:rPr>
        <w:t>d verification of the codes of actual pension contributions of graduates to confirm long-term employment in the relevant sectors.</w:t>
      </w:r>
      <w:r w:rsidRPr="002C73EE">
        <w:rPr>
          <w:rFonts w:ascii="Times New Roman" w:hAnsi="Times New Roman" w:cs="Times New Roman"/>
          <w:sz w:val="28"/>
          <w:szCs w:val="28"/>
        </w:rPr>
        <w:br/>
        <w:t>3. Atlas of New Professions and Competencies of Kazakhstan: The university conducted a validation of all agricultural specialt</w:t>
      </w:r>
      <w:r w:rsidRPr="002C73EE">
        <w:rPr>
          <w:rFonts w:ascii="Times New Roman" w:hAnsi="Times New Roman" w:cs="Times New Roman"/>
          <w:sz w:val="28"/>
          <w:szCs w:val="28"/>
        </w:rPr>
        <w:t xml:space="preserve">ies. According to the sector-specific Atlas of Professions of the Republic of Kazakhstan, the focus of KazNARU determines that 80% of actual workplaces and specialties are classified as 'green' </w:t>
      </w:r>
      <w:r w:rsidRPr="002C73EE">
        <w:rPr>
          <w:rFonts w:ascii="Times New Roman" w:hAnsi="Times New Roman" w:cs="Times New Roman"/>
          <w:sz w:val="28"/>
          <w:szCs w:val="28"/>
        </w:rPr>
        <w:lastRenderedPageBreak/>
        <w:t>professions (Green Jobs). This list includes specialists in pr</w:t>
      </w:r>
      <w:r w:rsidRPr="002C73EE">
        <w:rPr>
          <w:rFonts w:ascii="Times New Roman" w:hAnsi="Times New Roman" w:cs="Times New Roman"/>
          <w:sz w:val="28"/>
          <w:szCs w:val="28"/>
        </w:rPr>
        <w:t>ecision agriculture, city-farmers, water resources management engineers, eco-agronomists, biotechnology specialists, experts in forest ecosystem protection, and lean environmental management.</w:t>
      </w:r>
    </w:p>
    <w:p w:rsidR="006A35B0" w:rsidRPr="002C73EE" w:rsidRDefault="003A7028" w:rsidP="002C73EE">
      <w:pPr>
        <w:spacing w:after="120"/>
        <w:ind w:right="-279"/>
        <w:rPr>
          <w:rFonts w:ascii="Times New Roman" w:hAnsi="Times New Roman" w:cs="Times New Roman"/>
          <w:sz w:val="28"/>
          <w:szCs w:val="28"/>
        </w:rPr>
      </w:pPr>
      <w:r w:rsidRPr="002C73EE">
        <w:rPr>
          <w:rFonts w:ascii="Times New Roman" w:hAnsi="Times New Roman" w:cs="Times New Roman"/>
          <w:sz w:val="28"/>
          <w:szCs w:val="28"/>
        </w:rPr>
        <w:t>Statistical Indicators (For the Last 3 Years):</w:t>
      </w:r>
      <w:r w:rsidRPr="002C73EE">
        <w:rPr>
          <w:rFonts w:ascii="Times New Roman" w:hAnsi="Times New Roman" w:cs="Times New Roman"/>
          <w:sz w:val="28"/>
          <w:szCs w:val="28"/>
        </w:rPr>
        <w:br/>
        <w:t>• Total graduate</w:t>
      </w:r>
      <w:r w:rsidRPr="002C73EE">
        <w:rPr>
          <w:rFonts w:ascii="Times New Roman" w:hAnsi="Times New Roman" w:cs="Times New Roman"/>
          <w:sz w:val="28"/>
          <w:szCs w:val="28"/>
        </w:rPr>
        <w:t>s over 3 years (2023–2025): 7,120 people.</w:t>
      </w:r>
      <w:r w:rsidRPr="002C73EE">
        <w:rPr>
          <w:rFonts w:ascii="Times New Roman" w:hAnsi="Times New Roman" w:cs="Times New Roman"/>
          <w:sz w:val="28"/>
          <w:szCs w:val="28"/>
        </w:rPr>
        <w:br/>
        <w:t>• Share of 'green' professions according to the training profile and the Atlas: 80%.</w:t>
      </w:r>
      <w:r w:rsidRPr="002C73EE">
        <w:rPr>
          <w:rFonts w:ascii="Times New Roman" w:hAnsi="Times New Roman" w:cs="Times New Roman"/>
          <w:sz w:val="28"/>
          <w:szCs w:val="28"/>
        </w:rPr>
        <w:br/>
        <w:t>• Total verified number of graduates in 'green' jobs: 5,696 people.</w:t>
      </w:r>
      <w:r w:rsidRPr="002C73EE">
        <w:rPr>
          <w:rFonts w:ascii="Times New Roman" w:hAnsi="Times New Roman" w:cs="Times New Roman"/>
          <w:sz w:val="28"/>
          <w:szCs w:val="28"/>
        </w:rPr>
        <w:br/>
      </w:r>
      <w:r w:rsidRPr="002C73EE">
        <w:rPr>
          <w:rFonts w:ascii="Times New Roman" w:hAnsi="Times New Roman" w:cs="Times New Roman"/>
          <w:sz w:val="28"/>
          <w:szCs w:val="28"/>
        </w:rPr>
        <w:br/>
        <w:t>Supporting Materials and Verification Links:</w:t>
      </w:r>
      <w:r w:rsidRPr="002C73EE">
        <w:rPr>
          <w:rFonts w:ascii="Times New Roman" w:hAnsi="Times New Roman" w:cs="Times New Roman"/>
          <w:sz w:val="28"/>
          <w:szCs w:val="28"/>
        </w:rPr>
        <w:br/>
        <w:t>Official report</w:t>
      </w:r>
      <w:r w:rsidRPr="002C73EE">
        <w:rPr>
          <w:rFonts w:ascii="Times New Roman" w:hAnsi="Times New Roman" w:cs="Times New Roman"/>
          <w:sz w:val="28"/>
          <w:szCs w:val="28"/>
        </w:rPr>
        <w:t>s of the Career Center, the registry of certified educational programs of an agro-ecological profile, survey results, and regulatory documents are available in the special repository of sustainable development of the university:</w:t>
      </w:r>
      <w:r w:rsidRPr="002C73EE">
        <w:rPr>
          <w:rFonts w:ascii="Times New Roman" w:hAnsi="Times New Roman" w:cs="Times New Roman"/>
          <w:sz w:val="28"/>
          <w:szCs w:val="28"/>
        </w:rPr>
        <w:br/>
      </w:r>
      <w:r w:rsidRPr="002C73EE">
        <w:rPr>
          <w:rFonts w:ascii="Segoe UI Symbol" w:hAnsi="Segoe UI Symbol" w:cs="Segoe UI Symbol"/>
          <w:sz w:val="28"/>
          <w:szCs w:val="28"/>
        </w:rPr>
        <w:t>👉</w:t>
      </w:r>
      <w:r w:rsidRPr="002C73EE">
        <w:rPr>
          <w:rFonts w:ascii="Times New Roman" w:hAnsi="Times New Roman" w:cs="Times New Roman"/>
          <w:sz w:val="28"/>
          <w:szCs w:val="28"/>
        </w:rPr>
        <w:t xml:space="preserve"> Link: https://www.kaznar</w:t>
      </w:r>
      <w:r w:rsidRPr="002C73EE">
        <w:rPr>
          <w:rFonts w:ascii="Times New Roman" w:hAnsi="Times New Roman" w:cs="Times New Roman"/>
          <w:sz w:val="28"/>
          <w:szCs w:val="28"/>
        </w:rPr>
        <w:t>u.edu.kz/sustainability/reports/green-jobs-2026</w:t>
      </w:r>
    </w:p>
    <w:p w:rsidR="006A35B0" w:rsidRP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color w:val="2E7D32"/>
          <w:sz w:val="28"/>
          <w:szCs w:val="28"/>
        </w:rPr>
        <w:t>Conclusion: Strategic Vector of Development 'Horizon 2029'</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A comprehensive analysis of the results of KazNARU's activities for the 2025–2026 academic years confirms that the transition from a raw accumulation</w:t>
      </w:r>
      <w:r w:rsidRPr="002C73EE">
        <w:rPr>
          <w:rFonts w:ascii="Times New Roman" w:hAnsi="Times New Roman" w:cs="Times New Roman"/>
          <w:sz w:val="28"/>
          <w:szCs w:val="28"/>
        </w:rPr>
        <w:t xml:space="preserve"> of publications to the creation of tangible green infrastructure inside and outside the campus yields real results. Eliminating the isolation of the academic circuit through consortiums with the 'Green Urban' Association and international funds has laid a</w:t>
      </w:r>
      <w:r w:rsidRPr="002C73EE">
        <w:rPr>
          <w:rFonts w:ascii="Times New Roman" w:hAnsi="Times New Roman" w:cs="Times New Roman"/>
          <w:sz w:val="28"/>
          <w:szCs w:val="28"/>
        </w:rPr>
        <w:t xml:space="preserve"> solid foundation for the university's reputational and bibliometric indicators.</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b/>
          <w:sz w:val="28"/>
          <w:szCs w:val="28"/>
        </w:rPr>
        <w:br/>
        <w:t>The vector of development up to 2029 sets the following critically important tasks for KazNARU:</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 xml:space="preserve">1. Full Network Digitalization: Scaling up </w:t>
      </w:r>
      <w:r w:rsidRPr="0009570F">
        <w:rPr>
          <w:rFonts w:ascii="Times New Roman" w:hAnsi="Times New Roman" w:cs="Times New Roman"/>
          <w:b/>
          <w:sz w:val="28"/>
          <w:szCs w:val="28"/>
        </w:rPr>
        <w:t>'Smart Water' and 'Smart Plastic'</w:t>
      </w:r>
      <w:r w:rsidRPr="002C73EE">
        <w:rPr>
          <w:rFonts w:ascii="Times New Roman" w:hAnsi="Times New Roman" w:cs="Times New Roman"/>
          <w:sz w:val="28"/>
          <w:szCs w:val="28"/>
        </w:rPr>
        <w:t xml:space="preserve"> p</w:t>
      </w:r>
      <w:r w:rsidRPr="002C73EE">
        <w:rPr>
          <w:rFonts w:ascii="Times New Roman" w:hAnsi="Times New Roman" w:cs="Times New Roman"/>
          <w:sz w:val="28"/>
          <w:szCs w:val="28"/>
        </w:rPr>
        <w:t>rojects to 100% of university-affiliated territories, including remote experimental educational and research farms.</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2. Energy Transition: Integrating alternative energy technologies by constructing agro-electric solar stations and biogas plants for recycli</w:t>
      </w:r>
      <w:r w:rsidRPr="002C73EE">
        <w:rPr>
          <w:rFonts w:ascii="Times New Roman" w:hAnsi="Times New Roman" w:cs="Times New Roman"/>
          <w:sz w:val="28"/>
          <w:szCs w:val="28"/>
        </w:rPr>
        <w:t>ng organic farm waste.</w:t>
      </w:r>
    </w:p>
    <w:p w:rsidR="002C73EE"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t>3. Export of Expertise: Securing KazNARU's status as a leading Eurasian hub for sustainable development and inclusive agro-ecological education, providing the labor market with top-tier specialists.</w:t>
      </w:r>
    </w:p>
    <w:p w:rsidR="006A35B0" w:rsidRDefault="003A7028" w:rsidP="002C73EE">
      <w:pPr>
        <w:spacing w:after="120"/>
        <w:ind w:right="-279"/>
        <w:jc w:val="both"/>
        <w:rPr>
          <w:rFonts w:ascii="Times New Roman" w:hAnsi="Times New Roman" w:cs="Times New Roman"/>
          <w:sz w:val="28"/>
          <w:szCs w:val="28"/>
        </w:rPr>
      </w:pPr>
      <w:r w:rsidRPr="002C73EE">
        <w:rPr>
          <w:rFonts w:ascii="Times New Roman" w:hAnsi="Times New Roman" w:cs="Times New Roman"/>
          <w:sz w:val="28"/>
          <w:szCs w:val="28"/>
        </w:rPr>
        <w:lastRenderedPageBreak/>
        <w:t>Systematic execution of these ste</w:t>
      </w:r>
      <w:r w:rsidRPr="002C73EE">
        <w:rPr>
          <w:rFonts w:ascii="Times New Roman" w:hAnsi="Times New Roman" w:cs="Times New Roman"/>
          <w:sz w:val="28"/>
          <w:szCs w:val="28"/>
        </w:rPr>
        <w:t>ps will reverse any historical regression trends in international rankings, ensuring KazNARU's position as an unprecedented leader of the green agenda in the Republic of Kazakhstan.</w:t>
      </w:r>
    </w:p>
    <w:p w:rsidR="003A7028" w:rsidRDefault="003A7028" w:rsidP="002C73EE">
      <w:pPr>
        <w:spacing w:after="120"/>
        <w:ind w:right="-279"/>
        <w:jc w:val="both"/>
        <w:rPr>
          <w:rFonts w:ascii="Times New Roman" w:hAnsi="Times New Roman" w:cs="Times New Roman"/>
          <w:sz w:val="28"/>
          <w:szCs w:val="28"/>
        </w:rPr>
      </w:pPr>
    </w:p>
    <w:p w:rsidR="003A7028" w:rsidRPr="003A7028" w:rsidRDefault="003A7028" w:rsidP="003A7028">
      <w:pPr>
        <w:spacing w:after="120"/>
        <w:ind w:right="-279"/>
        <w:jc w:val="both"/>
        <w:rPr>
          <w:rFonts w:ascii="Times New Roman" w:hAnsi="Times New Roman" w:cs="Times New Roman"/>
          <w:b/>
          <w:sz w:val="28"/>
          <w:szCs w:val="28"/>
        </w:rPr>
      </w:pPr>
      <w:r w:rsidRPr="003A7028">
        <w:rPr>
          <w:rFonts w:ascii="Times New Roman" w:hAnsi="Times New Roman" w:cs="Times New Roman"/>
          <w:b/>
          <w:sz w:val="28"/>
          <w:szCs w:val="28"/>
        </w:rPr>
        <w:t>Appendix 1</w:t>
      </w:r>
      <w:r>
        <w:rPr>
          <w:rFonts w:ascii="Times New Roman" w:hAnsi="Times New Roman" w:cs="Times New Roman"/>
          <w:b/>
          <w:sz w:val="28"/>
          <w:szCs w:val="28"/>
        </w:rPr>
        <w:t xml:space="preserve">. </w:t>
      </w:r>
      <w:bookmarkStart w:id="0" w:name="_GoBack"/>
      <w:bookmarkEnd w:id="0"/>
      <w:r w:rsidRPr="003A7028">
        <w:rPr>
          <w:rFonts w:ascii="Times New Roman" w:hAnsi="Times New Roman" w:cs="Times New Roman"/>
          <w:b/>
          <w:sz w:val="28"/>
          <w:szCs w:val="28"/>
        </w:rPr>
        <w:t>Green Professions for Kazakhstan’s Labor Market</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Urban Greening Specialist — designing and maintaining sustainable city landscapes.</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Renewable Energy Engineer — developing solar, wind, and hydro solutions.</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Climate Risk Analyst — assessing and mitigating climate</w:t>
      </w:r>
      <w:r w:rsidRPr="003A7028">
        <w:rPr>
          <w:rFonts w:ascii="Times New Roman" w:hAnsi="Times New Roman" w:cs="Times New Roman"/>
          <w:sz w:val="28"/>
          <w:szCs w:val="28"/>
        </w:rPr>
        <w:noBreakHyphen/>
        <w:t>related economic risks.</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Sustainable Agriculture Consultant — advising on eco</w:t>
      </w:r>
      <w:r w:rsidRPr="003A7028">
        <w:rPr>
          <w:rFonts w:ascii="Times New Roman" w:hAnsi="Times New Roman" w:cs="Times New Roman"/>
          <w:sz w:val="28"/>
          <w:szCs w:val="28"/>
        </w:rPr>
        <w:noBreakHyphen/>
        <w:t>friendly farming practices.</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Environmental Policy Advisor — shaping regulations for green growth.</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Eco</w:t>
      </w:r>
      <w:r w:rsidRPr="003A7028">
        <w:rPr>
          <w:rFonts w:ascii="Times New Roman" w:hAnsi="Times New Roman" w:cs="Times New Roman"/>
          <w:sz w:val="28"/>
          <w:szCs w:val="28"/>
        </w:rPr>
        <w:noBreakHyphen/>
        <w:t>Construction Engineer — integrating energy</w:t>
      </w:r>
      <w:r w:rsidRPr="003A7028">
        <w:rPr>
          <w:rFonts w:ascii="Times New Roman" w:hAnsi="Times New Roman" w:cs="Times New Roman"/>
          <w:sz w:val="28"/>
          <w:szCs w:val="28"/>
        </w:rPr>
        <w:noBreakHyphen/>
        <w:t>efficient and green building technologies.</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Water Resource Manager — optimizing irrigation and water conservation systems.</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Circular Economy Specialist — promoting waste reduction and resource reuse.</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Carbon Footprint Auditor — measuring and reducing emissions in enterprises.</w:t>
      </w:r>
    </w:p>
    <w:p w:rsidR="003A7028" w:rsidRPr="003A7028" w:rsidRDefault="003A7028" w:rsidP="003A7028">
      <w:pPr>
        <w:pStyle w:val="ListParagraph"/>
        <w:numPr>
          <w:ilvl w:val="0"/>
          <w:numId w:val="11"/>
        </w:num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Green Innovation Project Manager — leading interdisciplinary projects in sustainability.</w:t>
      </w:r>
    </w:p>
    <w:p w:rsidR="003A7028" w:rsidRPr="003A7028" w:rsidRDefault="003A7028" w:rsidP="003A7028">
      <w:pPr>
        <w:spacing w:after="120"/>
        <w:ind w:right="-279"/>
        <w:jc w:val="both"/>
        <w:rPr>
          <w:rFonts w:ascii="Times New Roman" w:hAnsi="Times New Roman" w:cs="Times New Roman"/>
          <w:sz w:val="28"/>
          <w:szCs w:val="28"/>
        </w:rPr>
      </w:pPr>
      <w:r w:rsidRPr="003A7028">
        <w:rPr>
          <w:rFonts w:ascii="Times New Roman" w:hAnsi="Times New Roman" w:cs="Times New Roman"/>
          <w:sz w:val="28"/>
          <w:szCs w:val="28"/>
        </w:rPr>
        <w:t>These professions not only respond to Kazakhstan’s environmental challenges but also create new career pathways for students trained in sustainable development, ecological management, and green technologies.</w:t>
      </w:r>
    </w:p>
    <w:p w:rsidR="003A7028" w:rsidRPr="002C73EE" w:rsidRDefault="003A7028" w:rsidP="002C73EE">
      <w:pPr>
        <w:spacing w:after="120"/>
        <w:ind w:right="-279"/>
        <w:jc w:val="both"/>
        <w:rPr>
          <w:rFonts w:ascii="Times New Roman" w:hAnsi="Times New Roman" w:cs="Times New Roman"/>
          <w:sz w:val="28"/>
          <w:szCs w:val="28"/>
        </w:rPr>
      </w:pPr>
    </w:p>
    <w:sectPr w:rsidR="003A7028" w:rsidRPr="002C73EE"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3EE" w:rsidRDefault="002C73EE" w:rsidP="002C73EE">
      <w:pPr>
        <w:spacing w:after="0" w:line="240" w:lineRule="auto"/>
      </w:pPr>
      <w:r>
        <w:separator/>
      </w:r>
    </w:p>
  </w:endnote>
  <w:endnote w:type="continuationSeparator" w:id="0">
    <w:p w:rsidR="002C73EE" w:rsidRDefault="002C73EE" w:rsidP="002C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038073"/>
      <w:docPartObj>
        <w:docPartGallery w:val="Page Numbers (Bottom of Page)"/>
        <w:docPartUnique/>
      </w:docPartObj>
    </w:sdtPr>
    <w:sdtEndPr>
      <w:rPr>
        <w:noProof/>
      </w:rPr>
    </w:sdtEndPr>
    <w:sdtContent>
      <w:p w:rsidR="002C73EE" w:rsidRDefault="002C73EE">
        <w:pPr>
          <w:pStyle w:val="Footer"/>
          <w:jc w:val="center"/>
        </w:pPr>
        <w:r>
          <w:fldChar w:fldCharType="begin"/>
        </w:r>
        <w:r>
          <w:instrText xml:space="preserve"> PAGE   \* MERGEFORMAT </w:instrText>
        </w:r>
        <w:r>
          <w:fldChar w:fldCharType="separate"/>
        </w:r>
        <w:r w:rsidR="003A7028">
          <w:rPr>
            <w:noProof/>
          </w:rPr>
          <w:t>6</w:t>
        </w:r>
        <w:r>
          <w:rPr>
            <w:noProof/>
          </w:rPr>
          <w:fldChar w:fldCharType="end"/>
        </w:r>
      </w:p>
    </w:sdtContent>
  </w:sdt>
  <w:p w:rsidR="002C73EE" w:rsidRDefault="002C73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3EE" w:rsidRDefault="002C73EE" w:rsidP="002C73EE">
      <w:pPr>
        <w:spacing w:after="0" w:line="240" w:lineRule="auto"/>
      </w:pPr>
      <w:r>
        <w:separator/>
      </w:r>
    </w:p>
  </w:footnote>
  <w:footnote w:type="continuationSeparator" w:id="0">
    <w:p w:rsidR="002C73EE" w:rsidRDefault="002C73EE" w:rsidP="002C7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2225B0"/>
    <w:multiLevelType w:val="multilevel"/>
    <w:tmpl w:val="03E6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A5885"/>
    <w:multiLevelType w:val="hybridMultilevel"/>
    <w:tmpl w:val="3CCA8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570F"/>
    <w:rsid w:val="0015074B"/>
    <w:rsid w:val="0029639D"/>
    <w:rsid w:val="002C73EE"/>
    <w:rsid w:val="00326F90"/>
    <w:rsid w:val="003A7028"/>
    <w:rsid w:val="006A35B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B0FA7"/>
  <w14:defaultImageDpi w14:val="300"/>
  <w15:docId w15:val="{B47707DC-F782-4053-A485-9C956EAB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color w:val="2121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A7028"/>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font-ligatures-none">
    <w:name w:val="font-ligatures-none"/>
    <w:basedOn w:val="DefaultParagraphFont"/>
    <w:rsid w:val="003A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94270">
      <w:bodyDiv w:val="1"/>
      <w:marLeft w:val="0"/>
      <w:marRight w:val="0"/>
      <w:marTop w:val="0"/>
      <w:marBottom w:val="0"/>
      <w:divBdr>
        <w:top w:val="none" w:sz="0" w:space="0" w:color="auto"/>
        <w:left w:val="none" w:sz="0" w:space="0" w:color="auto"/>
        <w:bottom w:val="none" w:sz="0" w:space="0" w:color="auto"/>
        <w:right w:val="none" w:sz="0" w:space="0" w:color="auto"/>
      </w:divBdr>
    </w:div>
    <w:div w:id="1318027237">
      <w:bodyDiv w:val="1"/>
      <w:marLeft w:val="0"/>
      <w:marRight w:val="0"/>
      <w:marTop w:val="0"/>
      <w:marBottom w:val="0"/>
      <w:divBdr>
        <w:top w:val="none" w:sz="0" w:space="0" w:color="auto"/>
        <w:left w:val="none" w:sz="0" w:space="0" w:color="auto"/>
        <w:bottom w:val="none" w:sz="0" w:space="0" w:color="auto"/>
        <w:right w:val="none" w:sz="0" w:space="0" w:color="auto"/>
      </w:divBdr>
      <w:divsChild>
        <w:div w:id="623774516">
          <w:marLeft w:val="0"/>
          <w:marRight w:val="0"/>
          <w:marTop w:val="0"/>
          <w:marBottom w:val="0"/>
          <w:divBdr>
            <w:top w:val="none" w:sz="0" w:space="0" w:color="auto"/>
            <w:left w:val="none" w:sz="0" w:space="0" w:color="auto"/>
            <w:bottom w:val="none" w:sz="0" w:space="0" w:color="auto"/>
            <w:right w:val="none" w:sz="0" w:space="0" w:color="auto"/>
          </w:divBdr>
          <w:divsChild>
            <w:div w:id="10133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A8033-85A0-436E-B00C-946EFD22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2026-07-01T10:12:00Z</dcterms:created>
  <dcterms:modified xsi:type="dcterms:W3CDTF">2026-07-01T10:12:00Z</dcterms:modified>
  <cp:category/>
</cp:coreProperties>
</file>